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0rplc-7"/>
          <w:rFonts w:ascii="Times New Roman" w:eastAsia="Times New Roman" w:hAnsi="Times New Roman" w:cs="Times New Roman"/>
        </w:rPr>
        <w:t>...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мете и времени судебного заседания извещался посредством направления судебной повестки, которая возвращена отправителю с отметкой об истечении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05.09.2025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от 05.09.2025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4617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7704-DA92-46E2-9F29-4A1838B7DA9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